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3D2" w:rsidRPr="000127CC" w:rsidRDefault="000127CC" w:rsidP="000127CC">
      <w:pPr>
        <w:spacing w:line="480" w:lineRule="auto"/>
        <w:rPr>
          <w:rFonts w:ascii="Times New Roman" w:hAnsi="Times New Roman" w:cs="Times New Roman"/>
          <w:sz w:val="24"/>
          <w:szCs w:val="24"/>
        </w:rPr>
      </w:pPr>
      <w:r w:rsidRPr="000127CC">
        <w:rPr>
          <w:rFonts w:ascii="Times New Roman" w:hAnsi="Times New Roman" w:cs="Times New Roman"/>
          <w:sz w:val="24"/>
          <w:szCs w:val="24"/>
        </w:rPr>
        <w:t>Name:</w:t>
      </w:r>
    </w:p>
    <w:p w:rsidR="000127CC" w:rsidRPr="000127CC" w:rsidRDefault="000127CC" w:rsidP="000127CC">
      <w:pPr>
        <w:spacing w:line="480" w:lineRule="auto"/>
        <w:rPr>
          <w:rFonts w:ascii="Times New Roman" w:hAnsi="Times New Roman" w:cs="Times New Roman"/>
          <w:sz w:val="24"/>
          <w:szCs w:val="24"/>
        </w:rPr>
      </w:pPr>
      <w:r w:rsidRPr="000127CC">
        <w:rPr>
          <w:rFonts w:ascii="Times New Roman" w:hAnsi="Times New Roman" w:cs="Times New Roman"/>
          <w:sz w:val="24"/>
          <w:szCs w:val="24"/>
        </w:rPr>
        <w:t>Tutor’s Name:</w:t>
      </w:r>
    </w:p>
    <w:p w:rsidR="000127CC" w:rsidRPr="000127CC" w:rsidRDefault="000127CC" w:rsidP="000127CC">
      <w:pPr>
        <w:spacing w:line="480" w:lineRule="auto"/>
        <w:rPr>
          <w:rFonts w:ascii="Times New Roman" w:hAnsi="Times New Roman" w:cs="Times New Roman"/>
          <w:sz w:val="24"/>
          <w:szCs w:val="24"/>
        </w:rPr>
      </w:pPr>
      <w:r w:rsidRPr="000127CC">
        <w:rPr>
          <w:rFonts w:ascii="Times New Roman" w:hAnsi="Times New Roman" w:cs="Times New Roman"/>
          <w:sz w:val="24"/>
          <w:szCs w:val="24"/>
        </w:rPr>
        <w:t>Course:</w:t>
      </w:r>
    </w:p>
    <w:p w:rsidR="000127CC" w:rsidRDefault="000127CC" w:rsidP="000127CC">
      <w:pPr>
        <w:spacing w:line="480" w:lineRule="auto"/>
        <w:rPr>
          <w:rFonts w:ascii="Times New Roman" w:hAnsi="Times New Roman" w:cs="Times New Roman"/>
          <w:sz w:val="24"/>
          <w:szCs w:val="24"/>
        </w:rPr>
      </w:pPr>
      <w:r w:rsidRPr="000127CC">
        <w:rPr>
          <w:rFonts w:ascii="Times New Roman" w:hAnsi="Times New Roman" w:cs="Times New Roman"/>
          <w:sz w:val="24"/>
          <w:szCs w:val="24"/>
        </w:rPr>
        <w:t>Date:</w:t>
      </w:r>
    </w:p>
    <w:p w:rsidR="000127CC" w:rsidRDefault="00ED2681" w:rsidP="000127CC">
      <w:pPr>
        <w:spacing w:line="480" w:lineRule="auto"/>
        <w:jc w:val="center"/>
        <w:rPr>
          <w:rFonts w:ascii="Times New Roman" w:hAnsi="Times New Roman" w:cs="Times New Roman"/>
          <w:sz w:val="24"/>
          <w:szCs w:val="24"/>
        </w:rPr>
      </w:pPr>
      <w:r>
        <w:rPr>
          <w:rFonts w:ascii="Times New Roman" w:hAnsi="Times New Roman" w:cs="Times New Roman"/>
          <w:sz w:val="24"/>
          <w:szCs w:val="24"/>
        </w:rPr>
        <w:t>Religious Extremism</w:t>
      </w:r>
      <w:r w:rsidR="001923E4">
        <w:rPr>
          <w:rFonts w:ascii="Times New Roman" w:hAnsi="Times New Roman" w:cs="Times New Roman"/>
          <w:sz w:val="24"/>
          <w:szCs w:val="24"/>
        </w:rPr>
        <w:t xml:space="preserve"> in the Context of Tara Westover’s “Educated”</w:t>
      </w:r>
    </w:p>
    <w:p w:rsidR="00B116F7" w:rsidRDefault="00ED2681" w:rsidP="00ED268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Iannaccone and Berman have linked terrorism and religious extremism. This relation has been brought about by previous highlights of extremists’ willfulness to kill. Their hideous doings are borne out of theologies and teachings that justify perpetration of violence as a means of honoring God. These religious extremists find no sympathy for their victims given that </w:t>
      </w:r>
      <w:r w:rsidR="00704D02">
        <w:rPr>
          <w:rFonts w:ascii="Times New Roman" w:hAnsi="Times New Roman" w:cs="Times New Roman"/>
          <w:sz w:val="24"/>
          <w:szCs w:val="24"/>
        </w:rPr>
        <w:t>they hold their victims as enemies of the religious teachings of God. Religious extremists may also sacrifice their lives acclimatized from the expectations that they receive immediate and huge afterlife rewards in return. However, these theological explanations do not have centric answers, instead they</w:t>
      </w:r>
      <w:r w:rsidR="00AC0C79">
        <w:rPr>
          <w:rFonts w:ascii="Times New Roman" w:hAnsi="Times New Roman" w:cs="Times New Roman"/>
          <w:sz w:val="24"/>
          <w:szCs w:val="24"/>
        </w:rPr>
        <w:t xml:space="preserve"> pose more questions. </w:t>
      </w:r>
    </w:p>
    <w:p w:rsidR="00ED2681" w:rsidRDefault="00891625" w:rsidP="00ED268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Iannacone and Berman’s analysis, the argument behind religious extremism is founded on Adam Smith’s analysis based on his argument on the economic analysis of religion in the year 1776. Out of his analysis, Smith argues that clergy is mainly motivated by their own self-interest similar to secular producers. Similar to secular producers, churches or clergymen are constrained by market forces, and certain aspects such as benefits accruing from competition, hazards of government regulation, and burdens of monopoly. From this hypothesis, Smith’s insights motivated anthropologists, psychologists, and sociologists who overlooked religion as non-rational behavior, and</w:t>
      </w:r>
      <w:r w:rsidR="00B10132">
        <w:rPr>
          <w:rFonts w:ascii="Times New Roman" w:hAnsi="Times New Roman" w:cs="Times New Roman"/>
          <w:sz w:val="24"/>
          <w:szCs w:val="24"/>
        </w:rPr>
        <w:t xml:space="preserve"> by economists who on the other hand ignored religion and its faucets </w:t>
      </w:r>
      <w:r w:rsidR="00B10132">
        <w:rPr>
          <w:rFonts w:ascii="Times New Roman" w:hAnsi="Times New Roman" w:cs="Times New Roman"/>
          <w:sz w:val="24"/>
          <w:szCs w:val="24"/>
        </w:rPr>
        <w:lastRenderedPageBreak/>
        <w:t>altogether. Contemporary scholars, however, have returned to Adam’s insights where they view religion rather as an instance of rational choice in comparison to being an exception.</w:t>
      </w:r>
      <w:r>
        <w:rPr>
          <w:rFonts w:ascii="Times New Roman" w:hAnsi="Times New Roman" w:cs="Times New Roman"/>
          <w:sz w:val="24"/>
          <w:szCs w:val="24"/>
        </w:rPr>
        <w:t xml:space="preserve">  </w:t>
      </w:r>
      <w:r w:rsidR="00ED2681">
        <w:rPr>
          <w:rFonts w:ascii="Times New Roman" w:hAnsi="Times New Roman" w:cs="Times New Roman"/>
          <w:sz w:val="24"/>
          <w:szCs w:val="24"/>
        </w:rPr>
        <w:t xml:space="preserve"> </w:t>
      </w:r>
    </w:p>
    <w:p w:rsidR="00891625" w:rsidRDefault="00891625" w:rsidP="00ED268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hand, </w:t>
      </w:r>
      <w:r w:rsidR="00B116F7">
        <w:rPr>
          <w:rFonts w:ascii="Times New Roman" w:hAnsi="Times New Roman" w:cs="Times New Roman"/>
          <w:sz w:val="24"/>
          <w:szCs w:val="24"/>
        </w:rPr>
        <w:t>religious fundamentalism, whose prominence has been on the rise the early 1970’s, has been given forth by the rise of secularization and modernization. Secularization has been borne out of a number of processes of modernization such as structural and cultural pluralisms, as well as urbanization. Maxx Weber, among others have connoted secularization as the factor that is slowly demystifying the world such that  religion is regulated into smaller and smaller roles among decreasing numbers of organizations and people. This popular construct of secularization has been proceeded till societies and people operate without reliance or reference upon religion. As a result, religious faith become outdated, and for others individualized, more of what Emerson and Hartman have referred</w:t>
      </w:r>
      <w:r w:rsidR="00F32C79">
        <w:rPr>
          <w:rFonts w:ascii="Times New Roman" w:hAnsi="Times New Roman" w:cs="Times New Roman"/>
          <w:sz w:val="24"/>
          <w:szCs w:val="24"/>
        </w:rPr>
        <w:t xml:space="preserve"> to referencing religion like historical artifacts, long-gone cultures, or superstitious people. Western academicians have been well renown of advancing this secularization thesis of religion.</w:t>
      </w:r>
    </w:p>
    <w:p w:rsidR="00F32C79" w:rsidRDefault="00F32C79" w:rsidP="00ED268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proponents such as Peter Berger in 1992 have hypothesized secularization theory as failure to anticipate something. Out of this the demystification of the world as provided by Western academicians is seeded which is some form of remystification of resistance to demystification and of the world (Emerson and Hartman). The people, organizations, and movements who resist demystification, as well as those who choose to remystify are renowned as fundamentalists. Religious movements, and religion which have been disappearing have been seen to be resurging around the world. Research affirms that fundamentalist movements can be found in the Middle East, Africa, Asia, North America, and Latin America. Some of the multiple religions confined in these fundamentalist movements include Hinduism, Judaism, neo-Confucianism, Buddhism, Christianity, Islam, and Sikhism (Emerson and Hartman). These movements have also </w:t>
      </w:r>
      <w:r>
        <w:rPr>
          <w:rFonts w:ascii="Times New Roman" w:hAnsi="Times New Roman" w:cs="Times New Roman"/>
          <w:sz w:val="24"/>
          <w:szCs w:val="24"/>
        </w:rPr>
        <w:lastRenderedPageBreak/>
        <w:t>been renowned to bear a certain political influence.</w:t>
      </w:r>
      <w:r w:rsidR="00B26D31">
        <w:rPr>
          <w:rFonts w:ascii="Times New Roman" w:hAnsi="Times New Roman" w:cs="Times New Roman"/>
          <w:sz w:val="24"/>
          <w:szCs w:val="24"/>
        </w:rPr>
        <w:t xml:space="preserve"> Bearing from the above, fundamentalism can be inferred to as an urban construct directed mainly for the purpose of dissolution of patriarchal notions of order, social relations, personalistic, and an all ideal that replaces depersonalized principles (Emerson and Hartman). Therefore, fundamentalism heavily defies all the virtues of extremism, which further denotes the difference between religious fundamentalism, and religious extremism.</w:t>
      </w:r>
    </w:p>
    <w:p w:rsidR="00F32C79" w:rsidRDefault="00F32C79" w:rsidP="00ED268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Instances of Religious Extremism in Tara Westover’s “Educated”</w:t>
      </w:r>
    </w:p>
    <w:p w:rsidR="00F32C79" w:rsidRDefault="00285996" w:rsidP="00ED268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Basing arguments from Adam Smith’s connotation of religion to explain religious extremism as analyzed by Iannacone and Berman, similar renditions can be borne from Tara Westover’s “Educated”. As previewed above, the economic analysis of religion show it to be more of self-serving interests for the clergy. Out of the above statement, similar supplications can be borrowed from Tara Westover’s father who is also a clergyman. Beginning from his fami</w:t>
      </w:r>
      <w:r w:rsidR="00FF6392">
        <w:rPr>
          <w:rFonts w:ascii="Times New Roman" w:hAnsi="Times New Roman" w:cs="Times New Roman"/>
          <w:sz w:val="24"/>
          <w:szCs w:val="24"/>
        </w:rPr>
        <w:t>ly as seen from chapter one, Tar</w:t>
      </w:r>
      <w:r>
        <w:rPr>
          <w:rFonts w:ascii="Times New Roman" w:hAnsi="Times New Roman" w:cs="Times New Roman"/>
          <w:sz w:val="24"/>
          <w:szCs w:val="24"/>
        </w:rPr>
        <w:t>a Westover’s father seem to incline his family to follow in his footstep whatever serves his int</w:t>
      </w:r>
      <w:r w:rsidR="00FF6392">
        <w:rPr>
          <w:rFonts w:ascii="Times New Roman" w:hAnsi="Times New Roman" w:cs="Times New Roman"/>
          <w:sz w:val="24"/>
          <w:szCs w:val="24"/>
        </w:rPr>
        <w:t>erest. From the narration of Tar</w:t>
      </w:r>
      <w:r>
        <w:rPr>
          <w:rFonts w:ascii="Times New Roman" w:hAnsi="Times New Roman" w:cs="Times New Roman"/>
          <w:sz w:val="24"/>
          <w:szCs w:val="24"/>
        </w:rPr>
        <w:t>a Westover, there is an instance she narrates of their father being adamant against taking cereal with milk. All this began upon receiving some form of divine doctrine borrowed from a passage in the book of Isaiah, which retold about Immanuel. “Butter and honey shall he eat”, this was the passage upon which Tara’s father pondered on and tha</w:t>
      </w:r>
      <w:r w:rsidR="00FF6392">
        <w:rPr>
          <w:rFonts w:ascii="Times New Roman" w:hAnsi="Times New Roman" w:cs="Times New Roman"/>
          <w:sz w:val="24"/>
          <w:szCs w:val="24"/>
        </w:rPr>
        <w:t>t he sought to inquire the Lord (Westover). The</w:t>
      </w:r>
      <w:r>
        <w:rPr>
          <w:rFonts w:ascii="Times New Roman" w:hAnsi="Times New Roman" w:cs="Times New Roman"/>
          <w:sz w:val="24"/>
          <w:szCs w:val="24"/>
        </w:rPr>
        <w:t xml:space="preserve"> a</w:t>
      </w:r>
      <w:r w:rsidR="00FF6392">
        <w:rPr>
          <w:rFonts w:ascii="Times New Roman" w:hAnsi="Times New Roman" w:cs="Times New Roman"/>
          <w:sz w:val="24"/>
          <w:szCs w:val="24"/>
        </w:rPr>
        <w:t>bove</w:t>
      </w:r>
      <w:r>
        <w:rPr>
          <w:rFonts w:ascii="Times New Roman" w:hAnsi="Times New Roman" w:cs="Times New Roman"/>
          <w:sz w:val="24"/>
          <w:szCs w:val="24"/>
        </w:rPr>
        <w:t xml:space="preserve"> factor foresaw his father purging yogurt, cheese, and milk from their fridge, and instead loaded the truck with gallons of honey.</w:t>
      </w:r>
    </w:p>
    <w:p w:rsidR="00FF6392" w:rsidRDefault="004706D0" w:rsidP="00ED2681">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Religious extremism according to Iannacone and Berman has in the same light been linked to terrorism. Based on ideologies, theologies, and teachings that enslave people, and also which sells the notion that killing for the sake of God is some form of glorification to their God. Similar </w:t>
      </w:r>
      <w:r>
        <w:rPr>
          <w:rFonts w:ascii="Times New Roman" w:hAnsi="Times New Roman" w:cs="Times New Roman"/>
          <w:sz w:val="24"/>
          <w:szCs w:val="24"/>
        </w:rPr>
        <w:lastRenderedPageBreak/>
        <w:t>actions have been portrayed in Tara Westover’s “Educated”, it all begins with the narrators grandmother and the father arguing about the idea of school. Tara’s father thinks that school is a ploy by the government with a view of taking children away from the ways that God want them to conform (Westover). However, the above argument by his father heavily defies from her grandmother’s. Out of this, Tara and</w:t>
      </w:r>
      <w:r w:rsidR="00A30497">
        <w:rPr>
          <w:rFonts w:ascii="Times New Roman" w:hAnsi="Times New Roman" w:cs="Times New Roman"/>
          <w:sz w:val="24"/>
          <w:szCs w:val="24"/>
        </w:rPr>
        <w:t xml:space="preserve"> the siblings never attended school, a factor that earned her ridicule from the other girls at Sunday school following a rumor Aaron, a boy from church too, who had told the other girls that Westover could read since they had not gone to school and since then none of them could talk to the narrator. </w:t>
      </w:r>
    </w:p>
    <w:p w:rsidR="00ED2681" w:rsidRDefault="00AD1658" w:rsidP="00ED26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further worsen the situation, his father results to violence. This follows when the father gets wind of freedom fighters who lived near the family. Seeing that the government had stratified actions to keep children in school, they sought to forcefully take them. Relentless, the government sends the feds after them. However unbowed, they fight back in retaliation seeing that the freedom fighters seek the government is seen as a force that seeks to brainwash their children. In a similar regard, Tara’s father also seeks to fight back in retaliation seeing that he is not willing to send his children to school. As a result, he equips his children and those who were willing with military surplus rifles, silver bayonets, and even went ahead to buy a machine that manufactures bullets from spent cartridges (Westover).</w:t>
      </w:r>
    </w:p>
    <w:p w:rsidR="00ED2681" w:rsidRDefault="00AD1658" w:rsidP="005B1279">
      <w:pPr>
        <w:spacing w:line="480" w:lineRule="auto"/>
        <w:jc w:val="center"/>
        <w:rPr>
          <w:rFonts w:ascii="Times New Roman" w:hAnsi="Times New Roman" w:cs="Times New Roman"/>
          <w:sz w:val="24"/>
          <w:szCs w:val="24"/>
        </w:rPr>
      </w:pPr>
      <w:r>
        <w:rPr>
          <w:rFonts w:ascii="Times New Roman" w:hAnsi="Times New Roman" w:cs="Times New Roman"/>
          <w:sz w:val="24"/>
          <w:szCs w:val="24"/>
        </w:rPr>
        <w:t>Sum</w:t>
      </w:r>
      <w:bookmarkStart w:id="0" w:name="_GoBack"/>
      <w:bookmarkEnd w:id="0"/>
      <w:r>
        <w:rPr>
          <w:rFonts w:ascii="Times New Roman" w:hAnsi="Times New Roman" w:cs="Times New Roman"/>
          <w:sz w:val="24"/>
          <w:szCs w:val="24"/>
        </w:rPr>
        <w:t>mary</w:t>
      </w:r>
    </w:p>
    <w:p w:rsidR="00AD1658" w:rsidRDefault="00AD1658" w:rsidP="00AD16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Bearing from the above, Tara’s father ways are a demonstration of religious extremism, in opposition to religious fundamentalism as exemp</w:t>
      </w:r>
      <w:r w:rsidR="00DE37FB">
        <w:rPr>
          <w:rFonts w:ascii="Times New Roman" w:hAnsi="Times New Roman" w:cs="Times New Roman"/>
          <w:sz w:val="24"/>
          <w:szCs w:val="24"/>
        </w:rPr>
        <w:t>lified by Iannaconne and Berman’s analysis of religious extremism as highlighted above.</w:t>
      </w:r>
    </w:p>
    <w:p w:rsidR="00F32C79" w:rsidRDefault="00F32C79" w:rsidP="00AD1658">
      <w:pPr>
        <w:spacing w:line="480" w:lineRule="auto"/>
        <w:rPr>
          <w:rFonts w:ascii="Times New Roman" w:hAnsi="Times New Roman" w:cs="Times New Roman"/>
          <w:sz w:val="24"/>
          <w:szCs w:val="24"/>
        </w:rPr>
      </w:pPr>
    </w:p>
    <w:p w:rsidR="00ED2681" w:rsidRDefault="00ED2681" w:rsidP="000127C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D2681" w:rsidRDefault="00ED2681" w:rsidP="00ED2681">
      <w:pPr>
        <w:pStyle w:val="cpformat"/>
        <w:shd w:val="clear" w:color="auto" w:fill="FFFFFF"/>
        <w:spacing w:before="0" w:beforeAutospacing="0" w:after="0" w:afterAutospacing="0" w:line="480" w:lineRule="auto"/>
        <w:ind w:left="720" w:hanging="720"/>
        <w:jc w:val="both"/>
        <w:rPr>
          <w:color w:val="000000"/>
        </w:rPr>
      </w:pPr>
      <w:r>
        <w:rPr>
          <w:color w:val="000000"/>
        </w:rPr>
        <w:t>Emerson, Michael O., and David Hartman. "The Rise of Religious Fundamentalism." </w:t>
      </w:r>
      <w:r>
        <w:rPr>
          <w:rStyle w:val="Emphasis"/>
          <w:color w:val="000000"/>
        </w:rPr>
        <w:t>Annual Review of Sociology</w:t>
      </w:r>
      <w:r>
        <w:rPr>
          <w:color w:val="000000"/>
        </w:rPr>
        <w:t>, vol. 32, 5 Apr. 2006, pp. 127-144, </w:t>
      </w:r>
      <w:r>
        <w:rPr>
          <w:rStyle w:val="Emphasis"/>
          <w:color w:val="000000"/>
        </w:rPr>
        <w:t>JSTOR</w:t>
      </w:r>
      <w:r>
        <w:rPr>
          <w:color w:val="000000"/>
        </w:rPr>
        <w:t>. www.jstor.org/stable/29737734. Accessed 28 Oct. 2019.</w:t>
      </w:r>
    </w:p>
    <w:p w:rsidR="00ED2681" w:rsidRDefault="00ED2681" w:rsidP="00ED2681">
      <w:pPr>
        <w:pStyle w:val="cpformat"/>
        <w:shd w:val="clear" w:color="auto" w:fill="FFFFFF"/>
        <w:spacing w:before="0" w:beforeAutospacing="0" w:after="0" w:afterAutospacing="0" w:line="480" w:lineRule="auto"/>
        <w:ind w:left="720" w:hanging="720"/>
        <w:jc w:val="both"/>
        <w:rPr>
          <w:color w:val="000000"/>
        </w:rPr>
      </w:pPr>
      <w:r>
        <w:rPr>
          <w:color w:val="000000"/>
        </w:rPr>
        <w:t>Iannaconne, Laurence R., and Eli Berman. "Religious extremism: The good, the bad, and the deadly." </w:t>
      </w:r>
      <w:r>
        <w:rPr>
          <w:rStyle w:val="Emphasis"/>
          <w:color w:val="000000"/>
        </w:rPr>
        <w:t>Public Choice</w:t>
      </w:r>
      <w:r>
        <w:rPr>
          <w:color w:val="000000"/>
        </w:rPr>
        <w:t>, vol. 128, no. 1/2, 2006, pp. 109-129, doi:10.1007/s11127-006-9047-7. Accessed 28 Oct. 2019.</w:t>
      </w:r>
    </w:p>
    <w:p w:rsidR="00ED2681" w:rsidRDefault="00ED2681" w:rsidP="00ED2681">
      <w:pPr>
        <w:pStyle w:val="cpformat"/>
        <w:shd w:val="clear" w:color="auto" w:fill="FFFFFF"/>
        <w:spacing w:before="0" w:beforeAutospacing="0" w:after="0" w:afterAutospacing="0" w:line="480" w:lineRule="auto"/>
        <w:ind w:left="720" w:hanging="720"/>
        <w:jc w:val="both"/>
        <w:rPr>
          <w:color w:val="000000"/>
        </w:rPr>
      </w:pPr>
      <w:r>
        <w:rPr>
          <w:color w:val="000000"/>
        </w:rPr>
        <w:t>Westover, Tara. "Choose the Good." </w:t>
      </w:r>
      <w:r>
        <w:rPr>
          <w:rStyle w:val="Emphasis"/>
          <w:color w:val="000000"/>
        </w:rPr>
        <w:t>Educated: A memoir</w:t>
      </w:r>
      <w:r>
        <w:rPr>
          <w:color w:val="000000"/>
        </w:rPr>
        <w:t>, 1st ed., Random House, 2018.</w:t>
      </w:r>
    </w:p>
    <w:p w:rsidR="00ED2681" w:rsidRPr="001923E4" w:rsidRDefault="00ED2681" w:rsidP="00ED2681">
      <w:pPr>
        <w:spacing w:line="480" w:lineRule="auto"/>
        <w:rPr>
          <w:rFonts w:ascii="Times New Roman" w:hAnsi="Times New Roman" w:cs="Times New Roman"/>
          <w:sz w:val="24"/>
          <w:szCs w:val="24"/>
        </w:rPr>
      </w:pPr>
    </w:p>
    <w:sectPr w:rsidR="00ED2681" w:rsidRPr="001923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00D" w:rsidRDefault="0041600D" w:rsidP="000127CC">
      <w:pPr>
        <w:spacing w:after="0" w:line="240" w:lineRule="auto"/>
      </w:pPr>
      <w:r>
        <w:separator/>
      </w:r>
    </w:p>
  </w:endnote>
  <w:endnote w:type="continuationSeparator" w:id="0">
    <w:p w:rsidR="0041600D" w:rsidRDefault="0041600D" w:rsidP="00012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00D" w:rsidRDefault="0041600D" w:rsidP="000127CC">
      <w:pPr>
        <w:spacing w:after="0" w:line="240" w:lineRule="auto"/>
      </w:pPr>
      <w:r>
        <w:separator/>
      </w:r>
    </w:p>
  </w:footnote>
  <w:footnote w:type="continuationSeparator" w:id="0">
    <w:p w:rsidR="0041600D" w:rsidRDefault="0041600D" w:rsidP="000127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28257281"/>
      <w:docPartObj>
        <w:docPartGallery w:val="Page Numbers (Top of Page)"/>
        <w:docPartUnique/>
      </w:docPartObj>
    </w:sdtPr>
    <w:sdtEndPr>
      <w:rPr>
        <w:noProof/>
      </w:rPr>
    </w:sdtEndPr>
    <w:sdtContent>
      <w:p w:rsidR="00AD1658" w:rsidRPr="000127CC" w:rsidRDefault="00AD1658">
        <w:pPr>
          <w:pStyle w:val="Header"/>
          <w:jc w:val="right"/>
          <w:rPr>
            <w:rFonts w:ascii="Times New Roman" w:hAnsi="Times New Roman" w:cs="Times New Roman"/>
            <w:sz w:val="24"/>
            <w:szCs w:val="24"/>
          </w:rPr>
        </w:pPr>
        <w:r w:rsidRPr="000127CC">
          <w:rPr>
            <w:rFonts w:ascii="Times New Roman" w:hAnsi="Times New Roman" w:cs="Times New Roman"/>
            <w:sz w:val="24"/>
            <w:szCs w:val="24"/>
          </w:rPr>
          <w:t xml:space="preserve">Surname: </w:t>
        </w:r>
        <w:r w:rsidRPr="000127CC">
          <w:rPr>
            <w:rFonts w:ascii="Times New Roman" w:hAnsi="Times New Roman" w:cs="Times New Roman"/>
            <w:sz w:val="24"/>
            <w:szCs w:val="24"/>
          </w:rPr>
          <w:fldChar w:fldCharType="begin"/>
        </w:r>
        <w:r w:rsidRPr="000127CC">
          <w:rPr>
            <w:rFonts w:ascii="Times New Roman" w:hAnsi="Times New Roman" w:cs="Times New Roman"/>
            <w:sz w:val="24"/>
            <w:szCs w:val="24"/>
          </w:rPr>
          <w:instrText xml:space="preserve"> PAGE   \* MERGEFORMAT </w:instrText>
        </w:r>
        <w:r w:rsidRPr="000127CC">
          <w:rPr>
            <w:rFonts w:ascii="Times New Roman" w:hAnsi="Times New Roman" w:cs="Times New Roman"/>
            <w:sz w:val="24"/>
            <w:szCs w:val="24"/>
          </w:rPr>
          <w:fldChar w:fldCharType="separate"/>
        </w:r>
        <w:r w:rsidR="005B1279">
          <w:rPr>
            <w:rFonts w:ascii="Times New Roman" w:hAnsi="Times New Roman" w:cs="Times New Roman"/>
            <w:noProof/>
            <w:sz w:val="24"/>
            <w:szCs w:val="24"/>
          </w:rPr>
          <w:t>4</w:t>
        </w:r>
        <w:r w:rsidRPr="000127CC">
          <w:rPr>
            <w:rFonts w:ascii="Times New Roman" w:hAnsi="Times New Roman" w:cs="Times New Roman"/>
            <w:noProof/>
            <w:sz w:val="24"/>
            <w:szCs w:val="24"/>
          </w:rPr>
          <w:fldChar w:fldCharType="end"/>
        </w:r>
      </w:p>
    </w:sdtContent>
  </w:sdt>
  <w:p w:rsidR="00AD1658" w:rsidRPr="000127CC" w:rsidRDefault="00AD165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3NrYwNLSwMDQ3s7RU0lEKTi0uzszPAykwrAUAW7dAvSwAAAA="/>
  </w:docVars>
  <w:rsids>
    <w:rsidRoot w:val="000127CC"/>
    <w:rsid w:val="000127CC"/>
    <w:rsid w:val="001923E4"/>
    <w:rsid w:val="00285996"/>
    <w:rsid w:val="00347E4E"/>
    <w:rsid w:val="0041600D"/>
    <w:rsid w:val="004706D0"/>
    <w:rsid w:val="005B1279"/>
    <w:rsid w:val="00704D02"/>
    <w:rsid w:val="00891625"/>
    <w:rsid w:val="009443D2"/>
    <w:rsid w:val="00A30497"/>
    <w:rsid w:val="00AC0C79"/>
    <w:rsid w:val="00AD1658"/>
    <w:rsid w:val="00B10132"/>
    <w:rsid w:val="00B116F7"/>
    <w:rsid w:val="00B26D31"/>
    <w:rsid w:val="00B43BF9"/>
    <w:rsid w:val="00B51DF5"/>
    <w:rsid w:val="00DE37FB"/>
    <w:rsid w:val="00ED2681"/>
    <w:rsid w:val="00F32C79"/>
    <w:rsid w:val="00FF6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FBBD6C-D12E-486C-AB70-44928EA6C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7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7CC"/>
  </w:style>
  <w:style w:type="paragraph" w:styleId="Footer">
    <w:name w:val="footer"/>
    <w:basedOn w:val="Normal"/>
    <w:link w:val="FooterChar"/>
    <w:uiPriority w:val="99"/>
    <w:unhideWhenUsed/>
    <w:rsid w:val="000127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7CC"/>
  </w:style>
  <w:style w:type="paragraph" w:customStyle="1" w:styleId="cpformat">
    <w:name w:val="cpformat"/>
    <w:basedOn w:val="Normal"/>
    <w:rsid w:val="00ED268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D26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03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1177</Words>
  <Characters>6713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Captain102</dc:creator>
  <cp:lastModifiedBy>Windows User</cp:lastModifiedBy>
  <cp:revision>2</cp:revision>
  <dcterms:created xsi:type="dcterms:W3CDTF">2019-10-28T15:29:00Z</dcterms:created>
  <dcterms:modified xsi:type="dcterms:W3CDTF">2019-10-28T15:29:00Z</dcterms:modified>
</cp:coreProperties>
</file>